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adjustRightInd w:val="0"/>
        <w:snapToGrid w:val="0"/>
        <w:spacing w:before="240" w:beforeLines="100" w:after="120" w:afterLines="50" w:line="520" w:lineRule="exact"/>
        <w:jc w:val="left"/>
        <w:rPr>
          <w:rFonts w:hint="default" w:ascii="黑体" w:hAnsi="黑体" w:eastAsia="黑体"/>
          <w:sz w:val="32"/>
          <w:szCs w:val="30"/>
          <w:lang w:val="en-US" w:eastAsia="zh-CN"/>
        </w:rPr>
      </w:pPr>
    </w:p>
    <w:p>
      <w:pPr>
        <w:pStyle w:val="14"/>
        <w:snapToGrid w:val="0"/>
        <w:spacing w:after="120" w:afterLines="50" w:line="540" w:lineRule="exact"/>
        <w:jc w:val="center"/>
        <w:rPr>
          <w:rFonts w:hint="eastAsia" w:ascii="黑体" w:hAnsi="黑体" w:eastAsia="黑体"/>
          <w:b/>
          <w:sz w:val="40"/>
          <w:szCs w:val="30"/>
        </w:rPr>
      </w:pPr>
      <w:r>
        <w:rPr>
          <w:rFonts w:ascii="黑体" w:hAnsi="黑体" w:eastAsia="黑体"/>
          <w:b/>
          <w:sz w:val="40"/>
          <w:szCs w:val="30"/>
        </w:rPr>
        <w:t>中国政府奖学金申请材料清单</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中国政府奖学金生的遴选工作已经开始</w:t>
      </w:r>
      <w:r>
        <w:rPr>
          <w:rFonts w:hint="eastAsia" w:ascii="仿宋" w:hAnsi="仿宋" w:eastAsia="仿宋"/>
          <w:sz w:val="24"/>
          <w:szCs w:val="24"/>
        </w:rPr>
        <w:t>，</w:t>
      </w:r>
      <w:r>
        <w:rPr>
          <w:rFonts w:ascii="仿宋" w:hAnsi="仿宋" w:eastAsia="仿宋"/>
          <w:sz w:val="24"/>
          <w:szCs w:val="24"/>
        </w:rPr>
        <w:t>符合条件的申请人</w:t>
      </w:r>
      <w:r>
        <w:rPr>
          <w:rFonts w:hint="eastAsia" w:ascii="仿宋" w:hAnsi="仿宋" w:eastAsia="仿宋"/>
          <w:sz w:val="24"/>
          <w:szCs w:val="24"/>
        </w:rPr>
        <w:t>须</w:t>
      </w:r>
      <w:r>
        <w:rPr>
          <w:rFonts w:ascii="仿宋" w:hAnsi="仿宋" w:eastAsia="仿宋"/>
          <w:sz w:val="24"/>
          <w:szCs w:val="24"/>
        </w:rPr>
        <w:t>向有关受理部门提出申请，可通过</w:t>
      </w:r>
      <w:r>
        <w:rPr>
          <w:rFonts w:hint="eastAsia" w:ascii="仿宋" w:hAnsi="仿宋" w:eastAsia="仿宋"/>
          <w:sz w:val="24"/>
          <w:szCs w:val="24"/>
        </w:rPr>
        <w:t>留学</w:t>
      </w:r>
      <w:r>
        <w:rPr>
          <w:rFonts w:ascii="仿宋" w:hAnsi="仿宋" w:eastAsia="仿宋"/>
          <w:sz w:val="24"/>
          <w:szCs w:val="24"/>
        </w:rPr>
        <w:t>中国网（</w:t>
      </w:r>
      <w:r>
        <w:fldChar w:fldCharType="begin"/>
      </w:r>
      <w:r>
        <w:instrText xml:space="preserve"> HYPERLINK "http://www.campuschina.org" </w:instrText>
      </w:r>
      <w:r>
        <w:fldChar w:fldCharType="separate"/>
      </w:r>
      <w:r>
        <w:rPr>
          <w:rStyle w:val="28"/>
          <w:rFonts w:hint="eastAsia" w:ascii="仿宋" w:hAnsi="仿宋" w:eastAsia="仿宋"/>
          <w:sz w:val="24"/>
          <w:szCs w:val="24"/>
        </w:rPr>
        <w:t>www.campuschina.org</w:t>
      </w:r>
      <w:r>
        <w:rPr>
          <w:rStyle w:val="28"/>
          <w:rFonts w:hint="eastAsia" w:ascii="仿宋" w:hAnsi="仿宋" w:eastAsia="仿宋"/>
          <w:sz w:val="24"/>
          <w:szCs w:val="24"/>
        </w:rPr>
        <w:fldChar w:fldCharType="end"/>
      </w:r>
      <w:r>
        <w:rPr>
          <w:rFonts w:ascii="仿宋" w:hAnsi="仿宋" w:eastAsia="仿宋"/>
          <w:sz w:val="24"/>
          <w:szCs w:val="24"/>
        </w:rPr>
        <w:t>）了解各奖学金项目介绍、申请办法及流程、中国高校介绍等信息。</w:t>
      </w:r>
    </w:p>
    <w:p>
      <w:pPr>
        <w:pStyle w:val="14"/>
        <w:snapToGrid w:val="0"/>
        <w:spacing w:line="520" w:lineRule="exact"/>
        <w:ind w:firstLine="482" w:firstLineChars="200"/>
        <w:rPr>
          <w:rFonts w:hint="eastAsia" w:ascii="仿宋" w:hAnsi="仿宋" w:eastAsia="仿宋"/>
          <w:b/>
          <w:sz w:val="24"/>
          <w:szCs w:val="24"/>
        </w:rPr>
      </w:pPr>
      <w:r>
        <w:rPr>
          <w:rFonts w:ascii="仿宋" w:hAnsi="仿宋" w:eastAsia="仿宋"/>
          <w:b/>
          <w:sz w:val="24"/>
          <w:szCs w:val="24"/>
        </w:rPr>
        <w:t>申请条件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1.非中国籍公民，</w:t>
      </w:r>
      <w:r>
        <w:rPr>
          <w:rFonts w:hint="eastAsia" w:ascii="仿宋" w:hAnsi="仿宋" w:eastAsia="仿宋"/>
          <w:sz w:val="24"/>
          <w:szCs w:val="24"/>
        </w:rPr>
        <w:t>身心</w:t>
      </w:r>
      <w:r>
        <w:rPr>
          <w:rFonts w:ascii="仿宋" w:hAnsi="仿宋" w:eastAsia="仿宋"/>
          <w:sz w:val="24"/>
          <w:szCs w:val="24"/>
        </w:rPr>
        <w:t>健康；</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2.年龄</w:t>
      </w:r>
      <w:r>
        <w:rPr>
          <w:rFonts w:hint="eastAsia" w:ascii="仿宋" w:hAnsi="仿宋" w:eastAsia="仿宋"/>
          <w:sz w:val="24"/>
          <w:szCs w:val="24"/>
        </w:rPr>
        <w:t>、</w:t>
      </w:r>
      <w:r>
        <w:rPr>
          <w:rFonts w:ascii="仿宋" w:hAnsi="仿宋" w:eastAsia="仿宋"/>
          <w:sz w:val="24"/>
          <w:szCs w:val="24"/>
        </w:rPr>
        <w:t>学历</w:t>
      </w:r>
      <w:r>
        <w:rPr>
          <w:rFonts w:hint="eastAsia" w:ascii="仿宋" w:hAnsi="仿宋" w:eastAsia="仿宋"/>
          <w:sz w:val="24"/>
          <w:szCs w:val="24"/>
        </w:rPr>
        <w:t>、语言</w:t>
      </w:r>
      <w:r>
        <w:rPr>
          <w:rFonts w:ascii="仿宋" w:hAnsi="仿宋" w:eastAsia="仿宋"/>
          <w:sz w:val="24"/>
          <w:szCs w:val="24"/>
        </w:rPr>
        <w:t>要求：</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攻读学士学位者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w:t>
      </w:r>
      <w:r>
        <w:rPr>
          <w:rFonts w:ascii="仿宋" w:hAnsi="仿宋" w:eastAsia="仿宋"/>
          <w:sz w:val="24"/>
          <w:szCs w:val="24"/>
        </w:rPr>
        <w:t>高中毕业同等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25周岁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硕士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具有学士学位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35周岁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博士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具有硕士学位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40周岁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普通进修生入学时</w:t>
      </w:r>
      <w:r>
        <w:rPr>
          <w:rFonts w:ascii="仿宋" w:hAnsi="仿宋" w:eastAsia="仿宋"/>
          <w:sz w:val="24"/>
          <w:szCs w:val="24"/>
        </w:rPr>
        <w:t>应当具有高中毕业以上学历，年龄一般不超过</w:t>
      </w:r>
      <w:r>
        <w:rPr>
          <w:rFonts w:hint="eastAsia" w:ascii="仿宋" w:hAnsi="仿宋" w:eastAsia="仿宋"/>
          <w:sz w:val="24"/>
          <w:szCs w:val="24"/>
        </w:rPr>
        <w:t>45周岁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高级进修生入学时</w:t>
      </w:r>
      <w:r>
        <w:rPr>
          <w:rFonts w:ascii="仿宋" w:hAnsi="仿宋" w:eastAsia="仿宋"/>
          <w:sz w:val="24"/>
          <w:szCs w:val="24"/>
        </w:rPr>
        <w:t>应当具有硕士以上学位或副教授以上职称，年龄一般不超过</w:t>
      </w:r>
      <w:r>
        <w:rPr>
          <w:rFonts w:hint="eastAsia" w:ascii="仿宋" w:hAnsi="仿宋" w:eastAsia="仿宋"/>
          <w:sz w:val="24"/>
          <w:szCs w:val="24"/>
        </w:rPr>
        <w:t>50周岁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bookmarkStart w:id="0" w:name="OLE_LINK7"/>
      <w:bookmarkStart w:id="1" w:name="OLE_LINK6"/>
      <w:r>
        <w:rPr>
          <w:rFonts w:hint="eastAsia" w:ascii="仿宋" w:hAnsi="仿宋" w:eastAsia="仿宋"/>
          <w:sz w:val="24"/>
          <w:szCs w:val="24"/>
        </w:rPr>
        <w:t>申请攻读学士学位者</w:t>
      </w:r>
      <w:bookmarkEnd w:id="0"/>
      <w:bookmarkEnd w:id="1"/>
      <w:r>
        <w:rPr>
          <w:rFonts w:hint="eastAsia" w:ascii="仿宋" w:hAnsi="仿宋" w:eastAsia="仿宋"/>
          <w:sz w:val="24"/>
          <w:szCs w:val="24"/>
        </w:rPr>
        <w:t>须参加“来华留学本科入学学业水平测试（CSCA）”。</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以中文为专业教学语言的学科、专业的，攻读普通进修生（汉语言专业除外）、高级进修生，中文水平原则上至少达到汉语水平考试（HSK）三级，攻读硕士、博士学位者，中文水平原则上至少达到汉语水平考试（HSK）四级。</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申请人应当同时符合所申请学校在学术能力、语言能力及其它相关方面的入学要求。</w:t>
      </w:r>
    </w:p>
    <w:p>
      <w:pPr>
        <w:pStyle w:val="14"/>
        <w:snapToGrid w:val="0"/>
        <w:spacing w:line="520" w:lineRule="exact"/>
        <w:ind w:firstLine="482" w:firstLineChars="200"/>
        <w:rPr>
          <w:rFonts w:hint="eastAsia" w:ascii="仿宋" w:hAnsi="仿宋" w:eastAsia="仿宋"/>
          <w:sz w:val="24"/>
          <w:szCs w:val="24"/>
        </w:rPr>
      </w:pPr>
      <w:r>
        <w:rPr>
          <w:rFonts w:ascii="仿宋" w:hAnsi="仿宋" w:eastAsia="仿宋"/>
          <w:b/>
          <w:sz w:val="24"/>
          <w:szCs w:val="24"/>
        </w:rPr>
        <w:t>申请材料</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1.《中国政府奖学金申请表》（中文或英文填写）；</w:t>
      </w:r>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2.护照首页。申请人须提交本人普通护照的首页清晰扫描件，如现持有护照有效期不足12个月（自预计学习开始日期起算），请及时申领新护照，并使用新护照完成奖学金申请。对于因客观原因无法在提交申请前办理护照的申请人，经受理机构允许后，可提交包含本人“英文姓名、性别、国籍、出生日期”等信息的有效证件或证明文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3.经公证的最高学历证明。如申请人为在校学生，须提交本人就读学校出具的预计毕业证明或在学证明</w:t>
      </w:r>
      <w:r>
        <w:rPr>
          <w:rFonts w:hint="eastAsia" w:ascii="仿宋" w:hAnsi="仿宋" w:eastAsia="仿宋"/>
          <w:sz w:val="24"/>
          <w:szCs w:val="24"/>
        </w:rPr>
        <w:t>；</w:t>
      </w:r>
    </w:p>
    <w:p>
      <w:pPr>
        <w:pStyle w:val="14"/>
        <w:snapToGrid w:val="0"/>
        <w:spacing w:line="520" w:lineRule="exact"/>
        <w:rPr>
          <w:rFonts w:hint="eastAsia" w:ascii="仿宋" w:hAnsi="仿宋" w:eastAsia="仿宋"/>
          <w:sz w:val="24"/>
          <w:szCs w:val="24"/>
        </w:rPr>
      </w:pPr>
      <w:r>
        <w:rPr>
          <w:rFonts w:hint="eastAsia" w:ascii="仿宋" w:hAnsi="仿宋" w:eastAsia="仿宋"/>
          <w:sz w:val="24"/>
          <w:szCs w:val="24"/>
          <w:lang w:val="en-US" w:eastAsia="zh-CN"/>
        </w:rPr>
        <w:t xml:space="preserve">    </w:t>
      </w:r>
      <w:r>
        <w:rPr>
          <w:rFonts w:ascii="仿宋" w:hAnsi="仿宋" w:eastAsia="仿宋"/>
          <w:sz w:val="24"/>
          <w:szCs w:val="24"/>
        </w:rPr>
        <w:t>4.学习成绩单。中英文以外文本须附经公证的中文或英文的译文</w:t>
      </w:r>
      <w:r>
        <w:rPr>
          <w:rFonts w:hint="eastAsia"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5.</w:t>
      </w:r>
      <w:r>
        <w:rPr>
          <w:rFonts w:hint="eastAsia" w:ascii="仿宋" w:hAnsi="仿宋" w:eastAsia="仿宋"/>
          <w:sz w:val="24"/>
          <w:szCs w:val="24"/>
        </w:rPr>
        <w:t>语言能力证明。来华选择以中文为教学语言的</w:t>
      </w:r>
      <w:r>
        <w:rPr>
          <w:rFonts w:hint="eastAsia" w:ascii="仿宋" w:hAnsi="仿宋" w:eastAsia="仿宋"/>
          <w:b/>
          <w:sz w:val="24"/>
          <w:szCs w:val="24"/>
          <w:u w:val="single"/>
        </w:rPr>
        <w:t>硕士、博士、普通进修生及高级进修生申请人</w:t>
      </w:r>
      <w:r>
        <w:rPr>
          <w:rFonts w:hint="eastAsia" w:ascii="仿宋" w:hAnsi="仿宋" w:eastAsia="仿宋"/>
          <w:sz w:val="24"/>
          <w:szCs w:val="24"/>
        </w:rPr>
        <w:t>须提供有效期内且与相应中文水平要求相符的H</w:t>
      </w:r>
      <w:r>
        <w:rPr>
          <w:rFonts w:ascii="仿宋" w:hAnsi="仿宋" w:eastAsia="仿宋"/>
          <w:sz w:val="24"/>
          <w:szCs w:val="24"/>
        </w:rPr>
        <w:t>SK</w:t>
      </w:r>
      <w:r>
        <w:rPr>
          <w:rFonts w:hint="eastAsia" w:ascii="仿宋" w:hAnsi="仿宋" w:eastAsia="仿宋"/>
          <w:sz w:val="24"/>
          <w:szCs w:val="24"/>
        </w:rPr>
        <w:t>成绩报告。申请以外语为专业教学语言的申请人应根据学校要求提供相应的语言能力证明，如雅思或托福成绩单；</w:t>
      </w:r>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6</w:t>
      </w:r>
      <w:r>
        <w:rPr>
          <w:rFonts w:ascii="仿宋" w:hAnsi="仿宋" w:eastAsia="仿宋"/>
          <w:sz w:val="24"/>
          <w:szCs w:val="24"/>
        </w:rPr>
        <w:t>.</w:t>
      </w:r>
      <w:r>
        <w:rPr>
          <w:rFonts w:hint="eastAsia" w:ascii="仿宋" w:hAnsi="仿宋" w:eastAsia="仿宋"/>
          <w:sz w:val="24"/>
          <w:szCs w:val="24"/>
        </w:rPr>
        <w:t>来华留学本科入学学业水平测试（CSCA）成绩单。</w:t>
      </w:r>
      <w:bookmarkStart w:id="2" w:name="OLE_LINK12"/>
      <w:bookmarkStart w:id="3" w:name="OLE_LINK13"/>
      <w:r>
        <w:rPr>
          <w:rFonts w:hint="eastAsia" w:ascii="仿宋" w:hAnsi="仿宋" w:eastAsia="仿宋"/>
          <w:sz w:val="24"/>
          <w:szCs w:val="24"/>
        </w:rPr>
        <w:t>申请攻读学士学位者须在报名时持有</w:t>
      </w:r>
      <w:bookmarkStart w:id="4" w:name="OLE_LINK10"/>
      <w:r>
        <w:rPr>
          <w:rFonts w:hint="eastAsia" w:ascii="仿宋" w:hAnsi="仿宋" w:eastAsia="仿宋"/>
          <w:sz w:val="24"/>
          <w:szCs w:val="24"/>
        </w:rPr>
        <w:t>考试日期为2025年3月1日之后的有效CSCA成绩单</w:t>
      </w:r>
      <w:bookmarkEnd w:id="4"/>
      <w:r>
        <w:rPr>
          <w:rFonts w:hint="eastAsia" w:ascii="仿宋" w:hAnsi="仿宋" w:eastAsia="仿宋"/>
          <w:sz w:val="24"/>
          <w:szCs w:val="24"/>
        </w:rPr>
        <w:t>。</w:t>
      </w:r>
      <w:bookmarkEnd w:id="2"/>
      <w:r>
        <w:rPr>
          <w:rFonts w:hint="eastAsia" w:ascii="仿宋" w:hAnsi="仿宋" w:eastAsia="仿宋"/>
          <w:b/>
          <w:sz w:val="24"/>
          <w:szCs w:val="24"/>
          <w:u w:val="single"/>
        </w:rPr>
        <w:t>申请专业所需的必考测试科目请联系志愿院校查询获取</w:t>
      </w:r>
      <w:r>
        <w:rPr>
          <w:rFonts w:hint="eastAsia" w:ascii="仿宋" w:hAnsi="仿宋" w:eastAsia="仿宋"/>
          <w:sz w:val="24"/>
          <w:szCs w:val="24"/>
        </w:rPr>
        <w:t>。</w:t>
      </w:r>
    </w:p>
    <w:bookmarkEnd w:id="3"/>
    <w:p>
      <w:pPr>
        <w:pStyle w:val="14"/>
        <w:snapToGrid w:val="0"/>
        <w:spacing w:line="520" w:lineRule="exact"/>
        <w:ind w:firstLine="480"/>
        <w:rPr>
          <w:rFonts w:hint="eastAsia" w:ascii="仿宋" w:hAnsi="仿宋" w:eastAsia="仿宋"/>
          <w:sz w:val="24"/>
          <w:szCs w:val="24"/>
        </w:rPr>
      </w:pPr>
      <w:r>
        <w:rPr>
          <w:rFonts w:ascii="仿宋" w:hAnsi="仿宋" w:eastAsia="仿宋"/>
          <w:sz w:val="24"/>
          <w:szCs w:val="24"/>
        </w:rPr>
        <w:t>7.</w:t>
      </w:r>
      <w:r>
        <w:rPr>
          <w:rFonts w:hint="eastAsia" w:ascii="仿宋" w:hAnsi="仿宋" w:eastAsia="仿宋"/>
          <w:sz w:val="24"/>
          <w:szCs w:val="24"/>
        </w:rPr>
        <w:t>预录取材料。申请来华学习者须提供申请院校出具的预录取材料，可包括学校国际学生招生部门出具的预录取通知书，或学院、导师开具的邀请函等。</w:t>
      </w:r>
    </w:p>
    <w:p>
      <w:pPr>
        <w:pStyle w:val="14"/>
        <w:snapToGrid w:val="0"/>
        <w:spacing w:line="520" w:lineRule="exact"/>
        <w:ind w:firstLine="480"/>
        <w:rPr>
          <w:rFonts w:hint="eastAsia" w:ascii="仿宋" w:hAnsi="仿宋" w:eastAsia="仿宋"/>
          <w:sz w:val="24"/>
          <w:szCs w:val="24"/>
        </w:rPr>
      </w:pPr>
      <w:r>
        <w:rPr>
          <w:rFonts w:ascii="仿宋" w:hAnsi="仿宋" w:eastAsia="仿宋"/>
          <w:sz w:val="24"/>
          <w:szCs w:val="24"/>
        </w:rPr>
        <w:t>8.来华学习或研究计划。（本科生不少于200字，进修生不少于500字，研究生不少于800字），用中文或英文书写；</w:t>
      </w:r>
    </w:p>
    <w:p>
      <w:pPr>
        <w:pStyle w:val="14"/>
        <w:snapToGrid w:val="0"/>
        <w:spacing w:line="520" w:lineRule="exact"/>
        <w:ind w:firstLine="453" w:firstLineChars="189"/>
        <w:rPr>
          <w:rFonts w:hint="eastAsia" w:ascii="仿宋" w:hAnsi="仿宋" w:eastAsia="仿宋"/>
          <w:sz w:val="24"/>
          <w:szCs w:val="24"/>
        </w:rPr>
      </w:pPr>
      <w:r>
        <w:rPr>
          <w:rFonts w:ascii="仿宋" w:hAnsi="仿宋" w:eastAsia="仿宋"/>
          <w:sz w:val="24"/>
          <w:szCs w:val="24"/>
        </w:rPr>
        <w:t>9.推荐信。申请攻读硕士、博士学位者和申请作为高级进修生来华学习者，须提交两名教授或副教授的推荐信，用中文或英文书写；</w:t>
      </w:r>
    </w:p>
    <w:p>
      <w:pPr>
        <w:pStyle w:val="14"/>
        <w:snapToGrid w:val="0"/>
        <w:spacing w:line="520" w:lineRule="exact"/>
        <w:rPr>
          <w:rFonts w:hint="eastAsia" w:ascii="仿宋" w:hAnsi="仿宋" w:eastAsia="仿宋"/>
          <w:sz w:val="24"/>
          <w:szCs w:val="24"/>
        </w:rPr>
      </w:pPr>
      <w:r>
        <w:rPr>
          <w:rFonts w:hint="eastAsia" w:ascii="仿宋" w:hAnsi="仿宋" w:eastAsia="仿宋"/>
          <w:sz w:val="24"/>
          <w:szCs w:val="24"/>
          <w:lang w:val="en-US" w:eastAsia="zh-CN"/>
        </w:rPr>
        <w:t xml:space="preserve">    </w:t>
      </w:r>
      <w:r>
        <w:rPr>
          <w:rFonts w:ascii="仿宋" w:hAnsi="仿宋" w:eastAsia="仿宋"/>
          <w:sz w:val="24"/>
          <w:szCs w:val="24"/>
        </w:rPr>
        <w:t>10.</w:t>
      </w:r>
      <w:r>
        <w:rPr>
          <w:rFonts w:hint="eastAsia" w:ascii="仿宋" w:hAnsi="仿宋" w:eastAsia="仿宋"/>
          <w:sz w:val="24"/>
          <w:szCs w:val="24"/>
        </w:rPr>
        <w:t>个人作品。</w:t>
      </w:r>
      <w:r>
        <w:rPr>
          <w:rFonts w:ascii="仿宋" w:hAnsi="仿宋" w:eastAsia="仿宋"/>
          <w:sz w:val="24"/>
          <w:szCs w:val="24"/>
        </w:rPr>
        <w:t>申请</w:t>
      </w:r>
      <w:r>
        <w:rPr>
          <w:rFonts w:hint="eastAsia" w:ascii="仿宋" w:hAnsi="仿宋" w:eastAsia="仿宋"/>
          <w:sz w:val="24"/>
          <w:szCs w:val="24"/>
        </w:rPr>
        <w:t>攻读艺术、设计类等</w:t>
      </w:r>
      <w:r>
        <w:rPr>
          <w:rFonts w:ascii="仿宋" w:hAnsi="仿宋" w:eastAsia="仿宋"/>
          <w:sz w:val="24"/>
          <w:szCs w:val="24"/>
        </w:rPr>
        <w:t>专业</w:t>
      </w:r>
      <w:r>
        <w:rPr>
          <w:rFonts w:hint="eastAsia" w:ascii="仿宋" w:hAnsi="仿宋" w:eastAsia="仿宋"/>
          <w:sz w:val="24"/>
          <w:szCs w:val="24"/>
        </w:rPr>
        <w:t>者，可通过“作品/其他支撑材料”上传个人作品类材料（如影像、绘画作品等），亦可按照申请院校要求以其他方式提供；</w:t>
      </w:r>
    </w:p>
    <w:p>
      <w:pPr>
        <w:pStyle w:val="14"/>
        <w:snapToGrid w:val="0"/>
        <w:spacing w:line="520" w:lineRule="exact"/>
        <w:rPr>
          <w:rFonts w:hint="eastAsia" w:ascii="仿宋" w:hAnsi="仿宋" w:eastAsia="仿宋"/>
          <w:sz w:val="24"/>
          <w:szCs w:val="24"/>
        </w:rPr>
      </w:pPr>
      <w:r>
        <w:rPr>
          <w:rFonts w:hint="eastAsia" w:ascii="仿宋" w:hAnsi="仿宋" w:eastAsia="仿宋"/>
          <w:sz w:val="24"/>
          <w:szCs w:val="24"/>
          <w:lang w:val="en-US" w:eastAsia="zh-CN"/>
        </w:rPr>
        <w:t xml:space="preserve">    </w:t>
      </w:r>
      <w:bookmarkStart w:id="12" w:name="_GoBack"/>
      <w:bookmarkEnd w:id="12"/>
      <w:r>
        <w:rPr>
          <w:rFonts w:ascii="仿宋" w:hAnsi="仿宋" w:eastAsia="仿宋"/>
          <w:sz w:val="24"/>
          <w:szCs w:val="24"/>
        </w:rPr>
        <w:t>11.年龄不满18周岁的申请人，须提交在华法定监护人的相关法律文件；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w:t>
      </w:r>
      <w:bookmarkStart w:id="5" w:name="OLE_LINK4"/>
      <w:r>
        <w:rPr>
          <w:rFonts w:ascii="仿宋" w:hAnsi="仿宋" w:eastAsia="仿宋"/>
          <w:sz w:val="24"/>
          <w:szCs w:val="24"/>
        </w:rPr>
        <w:t>2.来华学习时间超过6个月的申请人，须提交《外国人体格检查表》复印件（原件自行保存，此表格由中国卫生检疫部门统一印制，须英文填写）。申请人应严格按照《外国人体格检查表》中要求的项目进行检查。缺项、未贴有本人照片或照片上未盖骑缝章、无医师和医院签字盖章的《外国人体格检查表》无效。检查结果有效期为6个月；</w:t>
      </w:r>
      <w:bookmarkEnd w:id="5"/>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1</w:t>
      </w:r>
      <w:r>
        <w:rPr>
          <w:rFonts w:ascii="仿宋" w:hAnsi="仿宋" w:eastAsia="仿宋"/>
          <w:sz w:val="24"/>
          <w:szCs w:val="24"/>
        </w:rPr>
        <w:t>3.</w:t>
      </w:r>
      <w:r>
        <w:rPr>
          <w:rFonts w:hint="eastAsia" w:ascii="仿宋" w:hAnsi="仿宋" w:eastAsia="仿宋"/>
          <w:sz w:val="24"/>
          <w:szCs w:val="24"/>
        </w:rPr>
        <w:t>无犯罪记录证明。申请人须提交由所在地公安机关出具的有效期内的无犯罪记录证明，通常应为提交申请之日前6个月以内的证明文件。</w:t>
      </w:r>
    </w:p>
    <w:p>
      <w:pPr>
        <w:pStyle w:val="14"/>
        <w:snapToGrid w:val="0"/>
        <w:spacing w:line="480" w:lineRule="exact"/>
        <w:ind w:firstLine="482" w:firstLineChars="200"/>
        <w:rPr>
          <w:rFonts w:hint="eastAsia" w:ascii="仿宋" w:hAnsi="仿宋" w:eastAsia="仿宋"/>
          <w:b/>
          <w:sz w:val="24"/>
          <w:szCs w:val="24"/>
        </w:rPr>
      </w:pPr>
      <w:bookmarkStart w:id="6" w:name="OLE_LINK2"/>
      <w:bookmarkStart w:id="7" w:name="OLE_LINK1"/>
      <w:r>
        <w:rPr>
          <w:rFonts w:hint="eastAsia" w:ascii="仿宋" w:hAnsi="仿宋" w:eastAsia="仿宋"/>
          <w:b/>
          <w:color w:val="FF0000"/>
          <w:sz w:val="24"/>
          <w:szCs w:val="24"/>
        </w:rPr>
        <w:t>注意</w:t>
      </w:r>
      <w:r>
        <w:rPr>
          <w:rFonts w:ascii="仿宋" w:hAnsi="仿宋" w:eastAsia="仿宋"/>
          <w:b/>
          <w:color w:val="FF0000"/>
          <w:sz w:val="24"/>
          <w:szCs w:val="24"/>
        </w:rPr>
        <w:t>：</w:t>
      </w:r>
      <w:r>
        <w:rPr>
          <w:rFonts w:hint="eastAsia" w:ascii="仿宋" w:hAnsi="仿宋" w:eastAsia="仿宋"/>
          <w:b/>
          <w:color w:val="FF0000"/>
          <w:sz w:val="24"/>
          <w:szCs w:val="24"/>
        </w:rPr>
        <w:t>通过</w:t>
      </w:r>
      <w:r>
        <w:rPr>
          <w:rFonts w:ascii="仿宋" w:hAnsi="仿宋" w:eastAsia="仿宋"/>
          <w:b/>
          <w:color w:val="FF0000"/>
          <w:sz w:val="24"/>
          <w:szCs w:val="24"/>
        </w:rPr>
        <w:t>系统上传的材料须清晰</w:t>
      </w:r>
      <w:r>
        <w:rPr>
          <w:rFonts w:hint="eastAsia" w:ascii="仿宋" w:hAnsi="仿宋" w:eastAsia="仿宋"/>
          <w:b/>
          <w:color w:val="FF0000"/>
          <w:sz w:val="24"/>
          <w:szCs w:val="24"/>
        </w:rPr>
        <w:t>、真实</w:t>
      </w:r>
      <w:r>
        <w:rPr>
          <w:rFonts w:ascii="仿宋" w:hAnsi="仿宋" w:eastAsia="仿宋"/>
          <w:b/>
          <w:color w:val="FF0000"/>
          <w:sz w:val="24"/>
          <w:szCs w:val="24"/>
        </w:rPr>
        <w:t>、有效</w:t>
      </w:r>
      <w:r>
        <w:rPr>
          <w:rFonts w:hint="eastAsia" w:ascii="仿宋" w:hAnsi="仿宋" w:eastAsia="仿宋"/>
          <w:b/>
          <w:color w:val="FF0000"/>
          <w:sz w:val="24"/>
          <w:szCs w:val="24"/>
        </w:rPr>
        <w:t>。</w:t>
      </w:r>
      <w:bookmarkStart w:id="8" w:name="OLE_LINK3"/>
      <w:bookmarkStart w:id="9" w:name="OLE_LINK5"/>
      <w:r>
        <w:rPr>
          <w:rFonts w:ascii="仿宋" w:hAnsi="仿宋" w:eastAsia="仿宋"/>
          <w:b/>
          <w:color w:val="FF0000"/>
          <w:sz w:val="24"/>
          <w:szCs w:val="24"/>
        </w:rPr>
        <w:t>建议申请人使用专业</w:t>
      </w:r>
      <w:r>
        <w:rPr>
          <w:rFonts w:hint="eastAsia" w:ascii="仿宋" w:hAnsi="仿宋" w:eastAsia="仿宋"/>
          <w:b/>
          <w:color w:val="FF0000"/>
          <w:sz w:val="24"/>
          <w:szCs w:val="24"/>
        </w:rPr>
        <w:t>设备</w:t>
      </w:r>
      <w:r>
        <w:rPr>
          <w:rFonts w:ascii="仿宋" w:hAnsi="仿宋" w:eastAsia="仿宋"/>
          <w:b/>
          <w:color w:val="FF0000"/>
          <w:sz w:val="24"/>
          <w:szCs w:val="24"/>
        </w:rPr>
        <w:t>扫描需</w:t>
      </w:r>
      <w:r>
        <w:rPr>
          <w:rFonts w:hint="eastAsia" w:ascii="仿宋" w:hAnsi="仿宋" w:eastAsia="仿宋"/>
          <w:b/>
          <w:color w:val="FF0000"/>
          <w:sz w:val="24"/>
          <w:szCs w:val="24"/>
        </w:rPr>
        <w:t>提交</w:t>
      </w:r>
      <w:r>
        <w:rPr>
          <w:rFonts w:ascii="仿宋" w:hAnsi="仿宋" w:eastAsia="仿宋"/>
          <w:b/>
          <w:color w:val="FF0000"/>
          <w:sz w:val="24"/>
          <w:szCs w:val="24"/>
        </w:rPr>
        <w:t>的有关文件</w:t>
      </w:r>
      <w:r>
        <w:rPr>
          <w:rFonts w:hint="eastAsia" w:ascii="仿宋" w:hAnsi="仿宋" w:eastAsia="仿宋"/>
          <w:b/>
          <w:color w:val="FF0000"/>
          <w:sz w:val="24"/>
          <w:szCs w:val="24"/>
        </w:rPr>
        <w:t>，因</w:t>
      </w:r>
      <w:r>
        <w:rPr>
          <w:rFonts w:ascii="仿宋" w:hAnsi="仿宋" w:eastAsia="仿宋"/>
          <w:b/>
          <w:color w:val="FF0000"/>
          <w:sz w:val="24"/>
          <w:szCs w:val="24"/>
        </w:rPr>
        <w:t>材料不清晰</w:t>
      </w:r>
      <w:r>
        <w:rPr>
          <w:rFonts w:hint="eastAsia" w:ascii="仿宋" w:hAnsi="仿宋" w:eastAsia="仿宋"/>
          <w:b/>
          <w:color w:val="FF0000"/>
          <w:sz w:val="24"/>
          <w:szCs w:val="24"/>
        </w:rPr>
        <w:t>或无法可识别</w:t>
      </w:r>
      <w:r>
        <w:rPr>
          <w:rFonts w:ascii="仿宋" w:hAnsi="仿宋" w:eastAsia="仿宋"/>
          <w:b/>
          <w:color w:val="FF0000"/>
          <w:sz w:val="24"/>
          <w:szCs w:val="24"/>
        </w:rPr>
        <w:t>造成的</w:t>
      </w:r>
      <w:r>
        <w:rPr>
          <w:rFonts w:hint="eastAsia" w:ascii="仿宋" w:hAnsi="仿宋" w:eastAsia="仿宋"/>
          <w:b/>
          <w:color w:val="FF0000"/>
          <w:sz w:val="24"/>
          <w:szCs w:val="24"/>
        </w:rPr>
        <w:t>后果由</w:t>
      </w:r>
      <w:r>
        <w:rPr>
          <w:rFonts w:ascii="仿宋" w:hAnsi="仿宋" w:eastAsia="仿宋"/>
          <w:b/>
          <w:color w:val="FF0000"/>
          <w:sz w:val="24"/>
          <w:szCs w:val="24"/>
        </w:rPr>
        <w:t>申请人承担</w:t>
      </w:r>
      <w:r>
        <w:rPr>
          <w:rFonts w:hint="eastAsia" w:ascii="仿宋" w:hAnsi="仿宋" w:eastAsia="仿宋"/>
          <w:b/>
          <w:color w:val="FF0000"/>
          <w:sz w:val="24"/>
          <w:szCs w:val="24"/>
        </w:rPr>
        <w:t>。</w:t>
      </w:r>
      <w:bookmarkEnd w:id="6"/>
      <w:bookmarkEnd w:id="7"/>
      <w:bookmarkEnd w:id="8"/>
      <w:bookmarkEnd w:id="9"/>
    </w:p>
    <w:p>
      <w:pPr>
        <w:widowControl/>
        <w:adjustRightInd/>
        <w:spacing w:line="240" w:lineRule="auto"/>
        <w:textAlignment w:val="auto"/>
        <w:rPr>
          <w:rFonts w:eastAsia="仿宋"/>
          <w:b/>
          <w:szCs w:val="24"/>
        </w:rPr>
      </w:pPr>
      <w:r>
        <w:rPr>
          <w:rFonts w:eastAsia="仿宋"/>
          <w:b/>
          <w:szCs w:val="24"/>
        </w:rPr>
        <w:br w:type="page"/>
      </w:r>
    </w:p>
    <w:p>
      <w:pPr>
        <w:snapToGrid w:val="0"/>
        <w:spacing w:line="360" w:lineRule="auto"/>
        <w:jc w:val="center"/>
        <w:rPr>
          <w:rFonts w:eastAsia="仿宋"/>
          <w:sz w:val="30"/>
          <w:szCs w:val="30"/>
        </w:rPr>
      </w:pPr>
      <w:r>
        <w:rPr>
          <w:rFonts w:eastAsia="仿宋"/>
          <w:b/>
          <w:sz w:val="30"/>
          <w:szCs w:val="30"/>
        </w:rPr>
        <w:t>Chinese Government Scholarship Application</w:t>
      </w:r>
    </w:p>
    <w:p>
      <w:pPr>
        <w:pStyle w:val="14"/>
        <w:adjustRightInd w:val="0"/>
        <w:snapToGrid w:val="0"/>
        <w:spacing w:line="360" w:lineRule="auto"/>
        <w:rPr>
          <w:rFonts w:ascii="Times New Roman" w:hAnsi="Times New Roman" w:eastAsia="仿宋"/>
          <w:sz w:val="24"/>
          <w:szCs w:val="24"/>
        </w:rPr>
      </w:pPr>
      <w:r>
        <w:rPr>
          <w:rFonts w:ascii="Times New Roman" w:hAnsi="Times New Roman" w:eastAsia="仿宋"/>
          <w:kern w:val="0"/>
          <w:sz w:val="24"/>
          <w:szCs w:val="24"/>
        </w:rPr>
        <w:t xml:space="preserve">Chinese Government Scholarship is now open for application. Online application and the corresponding application documents should be submitted to application receiving agency. For more information, please refer to </w:t>
      </w:r>
      <w:r>
        <w:fldChar w:fldCharType="begin"/>
      </w:r>
      <w:r>
        <w:instrText xml:space="preserve"> HYPERLINK "http://www.campuschina.org" </w:instrText>
      </w:r>
      <w:r>
        <w:fldChar w:fldCharType="separate"/>
      </w:r>
      <w:r>
        <w:rPr>
          <w:rStyle w:val="28"/>
          <w:rFonts w:ascii="Times New Roman" w:hAnsi="Times New Roman" w:eastAsia="仿宋"/>
          <w:sz w:val="24"/>
          <w:szCs w:val="24"/>
        </w:rPr>
        <w:t>www.campuschina.org</w:t>
      </w:r>
      <w:r>
        <w:rPr>
          <w:rStyle w:val="28"/>
          <w:rFonts w:ascii="Times New Roman" w:hAnsi="Times New Roman" w:eastAsia="仿宋"/>
          <w:sz w:val="24"/>
          <w:szCs w:val="24"/>
        </w:rPr>
        <w:fldChar w:fldCharType="end"/>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b/>
          <w:kern w:val="0"/>
          <w:sz w:val="24"/>
          <w:szCs w:val="24"/>
        </w:rPr>
        <w:t xml:space="preserve">Eligibility: </w:t>
      </w:r>
      <w:r>
        <w:rPr>
          <w:rFonts w:ascii="Times New Roman" w:hAnsi="Times New Roman" w:eastAsia="仿宋"/>
          <w:kern w:val="0"/>
          <w:sz w:val="24"/>
          <w:szCs w:val="24"/>
        </w:rPr>
        <w:t>To be eligible, applicants must</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be a citizen of a country other than the People’s Republic of China, and be in good health both </w:t>
      </w:r>
      <w:r>
        <w:rPr>
          <w:rFonts w:hint="eastAsia" w:ascii="Times New Roman" w:hAnsi="Times New Roman" w:eastAsia="仿宋"/>
          <w:kern w:val="0"/>
          <w:sz w:val="24"/>
          <w:szCs w:val="24"/>
        </w:rPr>
        <w:t>mentally</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 xml:space="preserve">and </w:t>
      </w:r>
      <w:r>
        <w:rPr>
          <w:rFonts w:ascii="Times New Roman" w:hAnsi="Times New Roman" w:eastAsia="仿宋"/>
          <w:kern w:val="0"/>
          <w:sz w:val="24"/>
          <w:szCs w:val="24"/>
        </w:rPr>
        <w:t xml:space="preserve">physically.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under the age of 25 when applying for undergraduate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bachelor’s degree holder under the age of 35 when applying for master’s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under the age of 40 when applying for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(at least) under the age of 45 when applying for general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or an associate professor (or above) under the age of 50 when applying for senior scholar programs.</w:t>
      </w:r>
    </w:p>
    <w:p>
      <w:pPr>
        <w:pStyle w:val="14"/>
        <w:adjustRightInd w:val="0"/>
        <w:snapToGrid w:val="0"/>
        <w:spacing w:line="360" w:lineRule="auto"/>
        <w:rPr>
          <w:rFonts w:ascii="Times New Roman" w:hAnsi="Times New Roman" w:eastAsia="仿宋"/>
          <w:kern w:val="0"/>
          <w:sz w:val="24"/>
          <w:szCs w:val="24"/>
        </w:rPr>
      </w:pPr>
      <w:r>
        <w:rPr>
          <w:rFonts w:hint="eastAsia" w:ascii="Times New Roman" w:hAnsi="Times New Roman" w:eastAsia="仿宋"/>
          <w:kern w:val="0"/>
          <w:sz w:val="24"/>
          <w:szCs w:val="24"/>
        </w:rPr>
        <w:t>-</w:t>
      </w:r>
      <w:r>
        <w:rPr>
          <w:rFonts w:ascii="Times New Roman" w:hAnsi="Times New Roman" w:eastAsia="仿宋"/>
          <w:kern w:val="0"/>
          <w:sz w:val="24"/>
          <w:szCs w:val="24"/>
        </w:rPr>
        <w:t xml:space="preserve"> take the "China Scholastic Competency Assessment (short as CSCA)" and upload a valid score report </w:t>
      </w:r>
      <w:r>
        <w:rPr>
          <w:rFonts w:hint="eastAsia" w:ascii="Times New Roman" w:hAnsi="Times New Roman" w:eastAsia="仿宋"/>
          <w:kern w:val="0"/>
          <w:sz w:val="24"/>
          <w:szCs w:val="24"/>
        </w:rPr>
        <w:t>when</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a</w:t>
      </w:r>
      <w:r>
        <w:rPr>
          <w:rFonts w:ascii="Times New Roman" w:hAnsi="Times New Roman" w:eastAsia="仿宋"/>
          <w:kern w:val="0"/>
          <w:sz w:val="24"/>
          <w:szCs w:val="24"/>
        </w:rPr>
        <w:t>ppl</w:t>
      </w:r>
      <w:r>
        <w:rPr>
          <w:rFonts w:hint="eastAsia" w:ascii="Times New Roman" w:hAnsi="Times New Roman" w:eastAsia="仿宋"/>
          <w:kern w:val="0"/>
          <w:sz w:val="24"/>
          <w:szCs w:val="24"/>
        </w:rPr>
        <w:t>ying</w:t>
      </w:r>
      <w:r>
        <w:rPr>
          <w:rFonts w:ascii="Times New Roman" w:hAnsi="Times New Roman" w:eastAsia="仿宋"/>
          <w:kern w:val="0"/>
          <w:sz w:val="24"/>
          <w:szCs w:val="24"/>
        </w:rPr>
        <w:t xml:space="preserve"> for bachelor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have acquired the Chinese proficiency of HSK Level 3 when applying for Chinese-taught general scholar programs (studying Chinese language are exempted);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3 when applying for Chinese-taught senior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4 when applying for Chinese-taught master’s 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meet the admission requirements of the applied universities in terms of academic ability, language proficiency and other relevant criterial.</w:t>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b/>
          <w:kern w:val="0"/>
          <w:sz w:val="24"/>
          <w:szCs w:val="24"/>
        </w:rPr>
      </w:pPr>
      <w:r>
        <w:rPr>
          <w:rFonts w:ascii="Times New Roman" w:hAnsi="Times New Roman" w:eastAsia="仿宋"/>
          <w:b/>
          <w:kern w:val="0"/>
          <w:sz w:val="24"/>
          <w:szCs w:val="24"/>
        </w:rPr>
        <w:t>Application Documents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Application Form for Chinese Government Scholarship (in Chinese or English).</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Passport Home Page: Applicants are required to submit a clear scanned copy of the information page of their ordinary passports. If the validity period of the currently held passport is less than 12 months (calculated from the expected start date of study), please renew the passport and use it to complete the scholarship application. An applicant who fails to apply for a passport due to objective reasons may submit valid documentation or documentary evidence that carries information about the full English name, gender, nationality and date of birth of the applicant upon the approval of the application receiving agency; </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Academic transcripts: Transcripts in languages other than Chinese or English must be attached with notarized Chinese or English translations.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Language qualification certificates. Applicants for master's, doctoral, general scholar, and senior scholar programs taught in Chinese must submit a valid HSK score report that meets the corresponding Chinese language proficiency requirements. Applicants for programs taught in other languages are required to provide relevant language proficiency certificates, such as IELTS or TOEFL score reports, in accordance with the requirements of each university.</w:t>
      </w:r>
    </w:p>
    <w:p>
      <w:pPr>
        <w:pStyle w:val="14"/>
        <w:numPr>
          <w:ilvl w:val="0"/>
          <w:numId w:val="1"/>
        </w:numPr>
        <w:adjustRightInd w:val="0"/>
        <w:snapToGrid w:val="0"/>
        <w:spacing w:line="360" w:lineRule="auto"/>
        <w:ind w:left="0"/>
        <w:rPr>
          <w:rFonts w:ascii="Times New Roman" w:hAnsi="Times New Roman" w:eastAsia="仿宋"/>
          <w:kern w:val="0"/>
          <w:sz w:val="24"/>
          <w:szCs w:val="24"/>
        </w:rPr>
      </w:pPr>
      <w:bookmarkStart w:id="10" w:name="OLE_LINK9"/>
      <w:bookmarkStart w:id="11" w:name="OLE_LINK8"/>
      <w:r>
        <w:rPr>
          <w:rFonts w:ascii="Times New Roman" w:hAnsi="Times New Roman" w:eastAsia="仿宋"/>
          <w:kern w:val="0"/>
          <w:sz w:val="24"/>
          <w:szCs w:val="24"/>
        </w:rPr>
        <w:t>CSCA Score Report</w:t>
      </w:r>
      <w:r>
        <w:rPr>
          <w:rFonts w:hint="eastAsia" w:ascii="Times New Roman" w:hAnsi="Times New Roman" w:eastAsia="仿宋"/>
          <w:kern w:val="0"/>
          <w:sz w:val="24"/>
          <w:szCs w:val="24"/>
        </w:rPr>
        <w:t>.</w:t>
      </w:r>
      <w:r>
        <w:rPr>
          <w:rFonts w:ascii="Times New Roman" w:hAnsi="Times New Roman" w:eastAsia="仿宋"/>
          <w:kern w:val="0"/>
          <w:sz w:val="24"/>
          <w:szCs w:val="24"/>
        </w:rPr>
        <w:t xml:space="preserve"> Applicants for bachelor’s degree programs must hold a valid score report of the CSCA</w:t>
      </w:r>
      <w:r>
        <w:rPr>
          <w:rFonts w:hint="eastAsia" w:ascii="Times New Roman" w:hAnsi="Times New Roman" w:eastAsia="仿宋"/>
          <w:kern w:val="0"/>
          <w:sz w:val="24"/>
          <w:szCs w:val="24"/>
        </w:rPr>
        <w:t xml:space="preserve"> </w:t>
      </w:r>
      <w:r>
        <w:rPr>
          <w:rFonts w:ascii="Times New Roman" w:hAnsi="Times New Roman" w:eastAsia="仿宋"/>
          <w:kern w:val="0"/>
          <w:sz w:val="24"/>
          <w:szCs w:val="24"/>
        </w:rPr>
        <w:t>at the time of application, with a test date after March 1</w:t>
      </w:r>
      <w:r>
        <w:rPr>
          <w:rFonts w:ascii="Times New Roman" w:hAnsi="Times New Roman" w:eastAsia="仿宋"/>
          <w:kern w:val="0"/>
          <w:sz w:val="24"/>
          <w:szCs w:val="24"/>
          <w:vertAlign w:val="superscript"/>
        </w:rPr>
        <w:t>st</w:t>
      </w:r>
      <w:r>
        <w:rPr>
          <w:rFonts w:ascii="Times New Roman" w:hAnsi="Times New Roman" w:eastAsia="仿宋"/>
          <w:kern w:val="0"/>
          <w:sz w:val="24"/>
          <w:szCs w:val="24"/>
        </w:rPr>
        <w:t xml:space="preserve">, 2025. </w:t>
      </w:r>
      <w:r>
        <w:rPr>
          <w:rFonts w:ascii="Times New Roman" w:hAnsi="Times New Roman" w:eastAsia="仿宋"/>
          <w:b/>
          <w:kern w:val="0"/>
          <w:sz w:val="24"/>
          <w:szCs w:val="24"/>
          <w:u w:val="single"/>
        </w:rPr>
        <w:t>Please contact the target universities to confirm the required test subjects for the applied major.</w:t>
      </w:r>
      <w:bookmarkEnd w:id="10"/>
      <w:bookmarkEnd w:id="11"/>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Pre-Admission Documents. All applicants must provide a pre-admission document issued by the universities applying. Pre-admission documents include pre-admission notice issued by the international students’ admission department or invitation letter from the schools or professors, etc. </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 Study Plan or Research Proposal in Chinese or English. (A minimum of 200 words for undergraduates, 500 words for non-degree students, and 800 words for postgraduates.)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Recommendation letters: Applicants for graduate programs or senior scholar programs must submit two letters of recommendation in Chinese or English from professors or associate professors.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Example of Art. To apply for art or design related majors, applicants could submit their own works through “Example of Art/Other Supporting Documents” in the system. Applicants could also provide such materials to the applied universities directly in other ways.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under the age of 18 should submit the valid documents of their legal guardians in China.</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planning to stay in China for more than 6 months must submit a photocopy of the Foreigner Physical Examination Form completed in English (the original copy should be kept by the applicant. The form is designed by the Chinese quarantine authority and can be obtained from the dispatching authority. 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Non-criminal record report. The applicant shall submit a valid certificate of Non-Criminal Record issued by the local public security authority, usually issued within 6 months prior to the submission date of the application.</w:t>
      </w: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r>
        <w:rPr>
          <w:rFonts w:ascii="Times New Roman" w:hAnsi="Times New Roman" w:eastAsia="仿宋"/>
          <w:b/>
          <w:color w:val="FF0000"/>
          <w:kern w:val="0"/>
          <w:sz w:val="24"/>
          <w:szCs w:val="24"/>
        </w:rPr>
        <w:t>Reminder: Uploaded supporting documents must be clear, authentic and valid. Applicants are recommended to use professional device to scan the relevant documents. Applicants shall bear the consequences caused by unclear or unidentifiable uploaded materials.</w:t>
      </w: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hint="eastAsia" w:ascii="Times New Roman" w:hAnsi="Times New Roman" w:eastAsia="仿宋"/>
          <w:b/>
          <w:bCs w:val="0"/>
          <w:color w:val="auto"/>
          <w:kern w:val="0"/>
          <w:sz w:val="28"/>
          <w:szCs w:val="28"/>
        </w:rPr>
      </w:pPr>
      <w:r>
        <w:rPr>
          <w:rFonts w:hint="eastAsia" w:ascii="Times New Roman" w:hAnsi="Times New Roman" w:eastAsia="仿宋"/>
          <w:b/>
          <w:bCs w:val="0"/>
          <w:color w:val="auto"/>
          <w:kern w:val="0"/>
          <w:sz w:val="28"/>
          <w:szCs w:val="28"/>
        </w:rPr>
        <w:t>Convocatoria del Programa de Becas del Gobierno Chino 2027-2028</w:t>
      </w:r>
    </w:p>
    <w:p>
      <w:pPr>
        <w:pStyle w:val="14"/>
        <w:adjustRightInd w:val="0"/>
        <w:snapToGrid w:val="0"/>
        <w:spacing w:line="360" w:lineRule="auto"/>
        <w:rPr>
          <w:rFonts w:hint="eastAsia" w:ascii="Times New Roman" w:hAnsi="Times New Roman" w:eastAsia="仿宋"/>
          <w:b/>
          <w:bCs w:val="0"/>
          <w:color w:val="auto"/>
          <w:kern w:val="0"/>
          <w:sz w:val="28"/>
          <w:szCs w:val="28"/>
        </w:rPr>
      </w:pP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El Ministerio de Educación de la República Popular China convoca programa de becas para el curso académico 2027-2028, a través del Programa Bilateral de Becas del Gobierno Chino de acuerdo con el Convenio Bilateral con el Gobierno de Costa Rica para ciudadanos costarricenses en colaboración con la Oficina de Becas del Ministerio de Relaciones Exteriores y Culto de la República de Costa Rica.</w:t>
      </w:r>
    </w:p>
    <w:p>
      <w:pPr>
        <w:pStyle w:val="14"/>
        <w:adjustRightInd w:val="0"/>
        <w:snapToGrid w:val="0"/>
        <w:spacing w:line="360" w:lineRule="auto"/>
        <w:rPr>
          <w:rFonts w:hint="eastAsia" w:ascii="Times New Roman" w:hAnsi="Times New Roman" w:eastAsia="仿宋"/>
          <w:b w:val="0"/>
          <w:bCs/>
          <w:color w:val="auto"/>
          <w:kern w:val="0"/>
          <w:sz w:val="24"/>
          <w:szCs w:val="24"/>
        </w:rPr>
      </w:pPr>
    </w:p>
    <w:p>
      <w:pPr>
        <w:pStyle w:val="14"/>
        <w:adjustRightInd w:val="0"/>
        <w:snapToGrid w:val="0"/>
        <w:spacing w:line="360" w:lineRule="auto"/>
        <w:rPr>
          <w:rFonts w:hint="eastAsia" w:ascii="Times New Roman" w:hAnsi="Times New Roman" w:eastAsia="仿宋"/>
          <w:b/>
          <w:bCs w:val="0"/>
          <w:color w:val="auto"/>
          <w:kern w:val="0"/>
          <w:sz w:val="24"/>
          <w:szCs w:val="24"/>
        </w:rPr>
      </w:pPr>
      <w:r>
        <w:rPr>
          <w:rFonts w:hint="eastAsia" w:ascii="Times New Roman" w:hAnsi="Times New Roman" w:eastAsia="仿宋"/>
          <w:b/>
          <w:bCs w:val="0"/>
          <w:color w:val="auto"/>
          <w:kern w:val="0"/>
          <w:sz w:val="24"/>
          <w:szCs w:val="24"/>
        </w:rPr>
        <w:t>I. Procedimiento de solicitud de becas de proyectos bilaterales y consulta de información sobre universidades chinas</w:t>
      </w:r>
    </w:p>
    <w:p>
      <w:pPr>
        <w:pStyle w:val="14"/>
        <w:adjustRightInd w:val="0"/>
        <w:snapToGrid w:val="0"/>
        <w:spacing w:line="360" w:lineRule="auto"/>
        <w:rPr>
          <w:rFonts w:hint="eastAsia" w:ascii="Times New Roman" w:hAnsi="Times New Roman" w:eastAsia="仿宋"/>
          <w:b w:val="0"/>
          <w:bCs/>
          <w:color w:val="auto"/>
          <w:kern w:val="0"/>
          <w:sz w:val="24"/>
          <w:szCs w:val="24"/>
        </w:rPr>
      </w:pP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Los solicitantes deben registrarse y presentar su solicitud ante la Oficina de Becas del Ministerio de Relaciones Exteriores y Culto de Costa Rica. (https://www.rree.go.cr/?sec=ministerio&amp;cat=cooperacion%20internacional&amp;cont=444#).Para obtener más información (requisitos de solicitud, documentos necesarios, modalidad de otorgamiento de la beca, notificación de los resultados de admisión e instituciones chinas receptoras), consulte el sitio web (http://www.campuschina.org/) de Becas del Gobierno de China del Ministerio de Educación de China, sección «Becas del Gobierno de China - Proyectos Bilaterales».</w:t>
      </w:r>
    </w:p>
    <w:p>
      <w:pPr>
        <w:pStyle w:val="14"/>
        <w:adjustRightInd w:val="0"/>
        <w:snapToGrid w:val="0"/>
        <w:spacing w:line="360" w:lineRule="auto"/>
        <w:rPr>
          <w:rFonts w:hint="eastAsia" w:ascii="Times New Roman" w:hAnsi="Times New Roman" w:eastAsia="仿宋"/>
          <w:b w:val="0"/>
          <w:bCs/>
          <w:color w:val="auto"/>
          <w:kern w:val="0"/>
          <w:sz w:val="24"/>
          <w:szCs w:val="24"/>
        </w:rPr>
      </w:pPr>
    </w:p>
    <w:p>
      <w:pPr>
        <w:pStyle w:val="14"/>
        <w:adjustRightInd w:val="0"/>
        <w:snapToGrid w:val="0"/>
        <w:spacing w:line="360" w:lineRule="auto"/>
        <w:rPr>
          <w:rFonts w:hint="eastAsia" w:ascii="Times New Roman" w:hAnsi="Times New Roman" w:eastAsia="仿宋"/>
          <w:b/>
          <w:bCs w:val="0"/>
          <w:color w:val="auto"/>
          <w:kern w:val="0"/>
          <w:sz w:val="24"/>
          <w:szCs w:val="24"/>
        </w:rPr>
      </w:pPr>
      <w:r>
        <w:rPr>
          <w:rFonts w:hint="eastAsia" w:ascii="Times New Roman" w:hAnsi="Times New Roman" w:eastAsia="仿宋"/>
          <w:b/>
          <w:bCs w:val="0"/>
          <w:color w:val="auto"/>
          <w:kern w:val="0"/>
          <w:sz w:val="24"/>
          <w:szCs w:val="24"/>
        </w:rPr>
        <w:t>II. Requisitos</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a) Poseer nacionalidad costarricense y buena salud.</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b) Requisitos sobre el nivel de educación, la edad de los candidatos y el nivel de idioma:</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·Los aspirantes para el curso de pregrado deben aportar el título de bachillerato de escuela secundaria y no superan los 25 años.</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·Los aspirantes para el curso de maestría deben aportar el título de bachillerato o licenciatura y no superan los 35 años.</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·Los aspirantes para el curso de doctorado deben aportar el título de maestría y no superan los 40 años.</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·Los aspirantes para la beca general (General Scholarship) (Idioma) deben haber cursado por lo menos dos años de escuela secundaria y no superan los 45 años.</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·Los aspirantes para la beca avanzada (Senior Scholarship) deben tener el título de maestría o superior, o ser profesores con plaza en propiedad y no superan los 50 años.</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c) Requisitos de idioma</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Los aspirantes a programas de licenciatura deben participar en el examen CSCA (Evaluación de la Competencia Académica en China). Para obtener la información sobre el CSCA y el registro, visite www.csca.cn.</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·Para aspirantes a beca de pregrado y beca general de programas en los que el chino sea el idioma de enseñanza, se requiere al menos HSK 3.</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·Para aspirantes a beca de maestría y doctorado de programas en los que el chino sea el idioma de enseñanza, se requiere al menos HSK 4.</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d) La Sección de Asuntos Educativos de esta misión diplomática no acepta solicitudes sino a través de la Oficina de Becas de la Cancillería de Costa Rica.</w:t>
      </w:r>
      <w:r>
        <w:rPr>
          <w:rFonts w:hint="eastAsia" w:ascii="Times New Roman" w:hAnsi="Times New Roman" w:eastAsia="仿宋"/>
          <w:b w:val="0"/>
          <w:bCs/>
          <w:color w:val="auto"/>
          <w:kern w:val="0"/>
          <w:sz w:val="24"/>
          <w:szCs w:val="24"/>
          <w:lang w:val="en-US" w:eastAsia="zh-CN"/>
        </w:rPr>
        <w:t xml:space="preserve"> </w:t>
      </w:r>
      <w:r>
        <w:rPr>
          <w:rFonts w:hint="eastAsia" w:ascii="Times New Roman" w:hAnsi="Times New Roman" w:eastAsia="仿宋"/>
          <w:b w:val="0"/>
          <w:bCs/>
          <w:color w:val="auto"/>
          <w:kern w:val="0"/>
          <w:sz w:val="24"/>
          <w:szCs w:val="24"/>
        </w:rPr>
        <w:t>Los candidatos deben entregar los documentos que corresponden con el reglamento de las entidades susodichas en la etapa eliminatoria y estarán sujetos de otros documentos que se les pueda exigir.</w:t>
      </w:r>
    </w:p>
    <w:p>
      <w:pPr>
        <w:pStyle w:val="14"/>
        <w:adjustRightInd w:val="0"/>
        <w:snapToGrid w:val="0"/>
        <w:spacing w:line="360" w:lineRule="auto"/>
        <w:rPr>
          <w:rFonts w:hint="eastAsia" w:ascii="Times New Roman" w:hAnsi="Times New Roman" w:eastAsia="仿宋"/>
          <w:b w:val="0"/>
          <w:bCs/>
          <w:color w:val="auto"/>
          <w:kern w:val="0"/>
          <w:sz w:val="24"/>
          <w:szCs w:val="24"/>
        </w:rPr>
      </w:pPr>
    </w:p>
    <w:p>
      <w:pPr>
        <w:pStyle w:val="14"/>
        <w:adjustRightInd w:val="0"/>
        <w:snapToGrid w:val="0"/>
        <w:spacing w:line="360" w:lineRule="auto"/>
        <w:rPr>
          <w:rFonts w:hint="eastAsia" w:ascii="Times New Roman" w:hAnsi="Times New Roman" w:eastAsia="仿宋"/>
          <w:b/>
          <w:bCs w:val="0"/>
          <w:color w:val="auto"/>
          <w:kern w:val="0"/>
          <w:sz w:val="24"/>
          <w:szCs w:val="24"/>
        </w:rPr>
      </w:pPr>
      <w:r>
        <w:rPr>
          <w:rFonts w:hint="eastAsia" w:ascii="Times New Roman" w:hAnsi="Times New Roman" w:eastAsia="仿宋"/>
          <w:b/>
          <w:bCs w:val="0"/>
          <w:color w:val="auto"/>
          <w:kern w:val="0"/>
          <w:sz w:val="24"/>
          <w:szCs w:val="24"/>
        </w:rPr>
        <w:t>III. Plazos</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Se aplicará el plazo de presentación establecido por la Oficina de Becas del Ministerio de Relaciones Exteriores de Costa Rica.</w:t>
      </w:r>
    </w:p>
    <w:p>
      <w:pPr>
        <w:pStyle w:val="14"/>
        <w:adjustRightInd w:val="0"/>
        <w:snapToGrid w:val="0"/>
        <w:spacing w:line="360" w:lineRule="auto"/>
        <w:rPr>
          <w:rFonts w:hint="eastAsia" w:ascii="Times New Roman" w:hAnsi="Times New Roman" w:eastAsia="仿宋"/>
          <w:b w:val="0"/>
          <w:bCs/>
          <w:color w:val="auto"/>
          <w:kern w:val="0"/>
          <w:sz w:val="24"/>
          <w:szCs w:val="24"/>
        </w:rPr>
      </w:pPr>
    </w:p>
    <w:p>
      <w:pPr>
        <w:pStyle w:val="14"/>
        <w:adjustRightInd w:val="0"/>
        <w:snapToGrid w:val="0"/>
        <w:spacing w:line="360" w:lineRule="auto"/>
        <w:rPr>
          <w:rFonts w:hint="eastAsia" w:ascii="Times New Roman" w:hAnsi="Times New Roman" w:eastAsia="仿宋"/>
          <w:b/>
          <w:bCs w:val="0"/>
          <w:color w:val="auto"/>
          <w:kern w:val="0"/>
          <w:sz w:val="24"/>
          <w:szCs w:val="24"/>
        </w:rPr>
      </w:pPr>
      <w:r>
        <w:rPr>
          <w:rFonts w:hint="eastAsia" w:ascii="Times New Roman" w:hAnsi="Times New Roman" w:eastAsia="仿宋"/>
          <w:b/>
          <w:bCs w:val="0"/>
          <w:color w:val="auto"/>
          <w:kern w:val="0"/>
          <w:sz w:val="24"/>
          <w:szCs w:val="24"/>
        </w:rPr>
        <w:t>IV. Reglas de selección</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El órgano administrativo competente para la instrucción del procedimiento, valoración y propuesta de concesión es la Sección de Educación de la Embajada de la República Popular China. El comité de selección lo conformarán el Agregado de Educación de la Embajada, el Jefe de Oficina de Becas del Ministerio de Relaciones Exteriores. El comité se reserva el derecho a realizar una prueba de idioma y/o convocar a los aspirantes a una entrevista si se estimara oportuno.</w:t>
      </w:r>
    </w:p>
    <w:p>
      <w:pPr>
        <w:pStyle w:val="14"/>
        <w:adjustRightInd w:val="0"/>
        <w:snapToGrid w:val="0"/>
        <w:spacing w:line="360" w:lineRule="auto"/>
        <w:rPr>
          <w:rFonts w:hint="eastAsia" w:ascii="Times New Roman" w:hAnsi="Times New Roman" w:eastAsia="仿宋"/>
          <w:b w:val="0"/>
          <w:bCs/>
          <w:color w:val="auto"/>
          <w:kern w:val="0"/>
          <w:sz w:val="24"/>
          <w:szCs w:val="24"/>
        </w:rPr>
      </w:pPr>
    </w:p>
    <w:p>
      <w:pPr>
        <w:pStyle w:val="14"/>
        <w:adjustRightInd w:val="0"/>
        <w:snapToGrid w:val="0"/>
        <w:spacing w:line="360" w:lineRule="auto"/>
        <w:rPr>
          <w:rFonts w:hint="eastAsia" w:ascii="Times New Roman" w:hAnsi="Times New Roman" w:eastAsia="仿宋"/>
          <w:b/>
          <w:bCs w:val="0"/>
          <w:color w:val="auto"/>
          <w:kern w:val="0"/>
          <w:sz w:val="24"/>
          <w:szCs w:val="24"/>
        </w:rPr>
      </w:pPr>
      <w:r>
        <w:rPr>
          <w:rFonts w:hint="eastAsia" w:ascii="Times New Roman" w:hAnsi="Times New Roman" w:eastAsia="仿宋"/>
          <w:b/>
          <w:bCs w:val="0"/>
          <w:color w:val="auto"/>
          <w:kern w:val="0"/>
          <w:sz w:val="24"/>
          <w:szCs w:val="24"/>
        </w:rPr>
        <w:t>V. Contactos</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a) La Sección de Asuntos Educativos de la Embajada de la República Popular China en Costa Rica</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Dirección:</w:t>
      </w:r>
      <w:r>
        <w:rPr>
          <w:rFonts w:hint="eastAsia" w:ascii="Times New Roman" w:hAnsi="Times New Roman" w:eastAsia="仿宋"/>
          <w:b w:val="0"/>
          <w:bCs/>
          <w:color w:val="auto"/>
          <w:kern w:val="0"/>
          <w:sz w:val="24"/>
          <w:szCs w:val="24"/>
          <w:lang w:val="en-US" w:eastAsia="zh-CN"/>
        </w:rPr>
        <w:t xml:space="preserve"> </w:t>
      </w:r>
      <w:r>
        <w:rPr>
          <w:rFonts w:hint="eastAsia" w:ascii="Times New Roman" w:hAnsi="Times New Roman" w:eastAsia="仿宋"/>
          <w:b w:val="0"/>
          <w:bCs/>
          <w:color w:val="auto"/>
          <w:kern w:val="0"/>
          <w:sz w:val="24"/>
          <w:szCs w:val="24"/>
        </w:rPr>
        <w:t>Del cruce de Santa Marta carretera hacia el Cristo de Sabanilla 900 metros a mano derecha, Sabanilla, San José, Costa Rica</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E-mail: moe.cn.cr@gmail.com</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b) Oficina de Becas del Ministerio de Relaciones Exteriores y Culto</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(https://www.rree.go.cr/?sec=ministerio&amp;cat=cooperacion%20internacional&amp;cont=444#)</w:t>
      </w:r>
    </w:p>
    <w:p>
      <w:pPr>
        <w:pStyle w:val="14"/>
        <w:adjustRightInd w:val="0"/>
        <w:snapToGrid w:val="0"/>
        <w:spacing w:line="360" w:lineRule="auto"/>
        <w:rPr>
          <w:rFonts w:hint="eastAsia" w:ascii="Times New Roman" w:hAnsi="Times New Roman" w:eastAsia="仿宋"/>
          <w:b w:val="0"/>
          <w:bCs/>
          <w:color w:val="auto"/>
          <w:kern w:val="0"/>
          <w:sz w:val="24"/>
          <w:szCs w:val="24"/>
        </w:rPr>
      </w:pPr>
      <w:r>
        <w:rPr>
          <w:rFonts w:hint="eastAsia" w:ascii="Times New Roman" w:hAnsi="Times New Roman" w:eastAsia="仿宋"/>
          <w:b w:val="0"/>
          <w:bCs/>
          <w:color w:val="auto"/>
          <w:kern w:val="0"/>
          <w:sz w:val="24"/>
          <w:szCs w:val="24"/>
        </w:rPr>
        <w:t>Dirección: Avenida 7-9, Calle 11-13 San José</w:t>
      </w:r>
    </w:p>
    <w:p>
      <w:pPr>
        <w:pStyle w:val="14"/>
        <w:adjustRightInd w:val="0"/>
        <w:snapToGrid w:val="0"/>
        <w:spacing w:line="360" w:lineRule="auto"/>
        <w:rPr>
          <w:rFonts w:ascii="Times New Roman" w:hAnsi="Times New Roman" w:eastAsia="仿宋"/>
          <w:b w:val="0"/>
          <w:bCs/>
          <w:color w:val="FF0000"/>
          <w:kern w:val="0"/>
          <w:sz w:val="24"/>
          <w:szCs w:val="24"/>
        </w:rPr>
      </w:pPr>
      <w:r>
        <w:rPr>
          <w:rFonts w:hint="eastAsia" w:ascii="Times New Roman" w:hAnsi="Times New Roman" w:eastAsia="仿宋"/>
          <w:b w:val="0"/>
          <w:bCs/>
          <w:color w:val="auto"/>
          <w:kern w:val="0"/>
          <w:sz w:val="24"/>
          <w:szCs w:val="24"/>
        </w:rPr>
        <w:t>Central Telefónica: 506-25395434；E-mail: becas@rree.go</w:t>
      </w:r>
      <w:r>
        <w:rPr>
          <w:rFonts w:hint="eastAsia" w:ascii="Times New Roman" w:hAnsi="Times New Roman" w:eastAsia="仿宋"/>
          <w:b w:val="0"/>
          <w:bCs/>
          <w:color w:val="FF0000"/>
          <w:kern w:val="0"/>
          <w:sz w:val="24"/>
          <w:szCs w:val="24"/>
        </w:rPr>
        <w:t>.cr</w:t>
      </w:r>
    </w:p>
    <w:sectPr>
      <w:headerReference r:id="rId3" w:type="default"/>
      <w:footerReference r:id="rId4" w:type="even"/>
      <w:pgSz w:w="11907" w:h="16840"/>
      <w:pgMar w:top="964" w:right="1701" w:bottom="1418" w:left="1701" w:header="851" w:footer="992" w:gutter="0"/>
      <w:paperSrc w:first="15" w:other="15"/>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rPr>
        <w:rStyle w:val="27"/>
      </w:rPr>
    </w:pPr>
    <w:r>
      <w:rPr>
        <w:rStyle w:val="27"/>
      </w:rPr>
      <w:fldChar w:fldCharType="begin"/>
    </w:r>
    <w:r>
      <w:rPr>
        <w:rStyle w:val="27"/>
      </w:rPr>
      <w:instrText xml:space="preserve">PAGE  </w:instrText>
    </w:r>
    <w:r>
      <w:rPr>
        <w:rStyle w:val="27"/>
      </w:rPr>
      <w:fldChar w:fldCharType="separate"/>
    </w:r>
    <w:r>
      <w:rPr>
        <w:rStyle w:val="27"/>
      </w:rPr>
      <w:t>6</w:t>
    </w:r>
    <w:r>
      <w:rPr>
        <w:rStyle w:val="27"/>
      </w:rPr>
      <w:fldChar w:fldCharType="end"/>
    </w:r>
  </w:p>
  <w:p>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jc w:val="both"/>
      <w:rPr>
        <w:rFonts w:eastAsia="黑体"/>
        <w:color w:val="7F7F7F" w:themeColor="background1" w:themeShade="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AA7D91"/>
    <w:multiLevelType w:val="multilevel"/>
    <w:tmpl w:val="31AA7D91"/>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86"/>
    <w:rsid w:val="00001E35"/>
    <w:rsid w:val="00003978"/>
    <w:rsid w:val="00004DEF"/>
    <w:rsid w:val="000059BA"/>
    <w:rsid w:val="00011FA1"/>
    <w:rsid w:val="00014B46"/>
    <w:rsid w:val="00015121"/>
    <w:rsid w:val="00022E80"/>
    <w:rsid w:val="0002586B"/>
    <w:rsid w:val="0002650D"/>
    <w:rsid w:val="00027F12"/>
    <w:rsid w:val="00040350"/>
    <w:rsid w:val="00043566"/>
    <w:rsid w:val="0004512A"/>
    <w:rsid w:val="00045A33"/>
    <w:rsid w:val="00045C62"/>
    <w:rsid w:val="00050307"/>
    <w:rsid w:val="000621DB"/>
    <w:rsid w:val="00080429"/>
    <w:rsid w:val="00081252"/>
    <w:rsid w:val="000826F7"/>
    <w:rsid w:val="000838E7"/>
    <w:rsid w:val="00090E60"/>
    <w:rsid w:val="00092FDB"/>
    <w:rsid w:val="00093CA9"/>
    <w:rsid w:val="000955EC"/>
    <w:rsid w:val="0009580A"/>
    <w:rsid w:val="00097B0D"/>
    <w:rsid w:val="000B3E2A"/>
    <w:rsid w:val="000C4706"/>
    <w:rsid w:val="000C6BE7"/>
    <w:rsid w:val="000D0D30"/>
    <w:rsid w:val="000D1603"/>
    <w:rsid w:val="000D5F3F"/>
    <w:rsid w:val="000F06D9"/>
    <w:rsid w:val="000F422E"/>
    <w:rsid w:val="000F619D"/>
    <w:rsid w:val="00100FBF"/>
    <w:rsid w:val="00120D16"/>
    <w:rsid w:val="001301DE"/>
    <w:rsid w:val="00136E01"/>
    <w:rsid w:val="0013733B"/>
    <w:rsid w:val="001409FB"/>
    <w:rsid w:val="001501F7"/>
    <w:rsid w:val="00150356"/>
    <w:rsid w:val="00163EF1"/>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431F7"/>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517B"/>
    <w:rsid w:val="00357355"/>
    <w:rsid w:val="003622CB"/>
    <w:rsid w:val="00366492"/>
    <w:rsid w:val="00371EB1"/>
    <w:rsid w:val="00372062"/>
    <w:rsid w:val="00373A80"/>
    <w:rsid w:val="00380964"/>
    <w:rsid w:val="00383B8D"/>
    <w:rsid w:val="003A1983"/>
    <w:rsid w:val="003A1BBA"/>
    <w:rsid w:val="003A5AE6"/>
    <w:rsid w:val="003B6E1F"/>
    <w:rsid w:val="003C488F"/>
    <w:rsid w:val="003C624A"/>
    <w:rsid w:val="003C6367"/>
    <w:rsid w:val="003C7373"/>
    <w:rsid w:val="003C7397"/>
    <w:rsid w:val="003F40E8"/>
    <w:rsid w:val="003F7C7A"/>
    <w:rsid w:val="00404B79"/>
    <w:rsid w:val="004058BA"/>
    <w:rsid w:val="0041160E"/>
    <w:rsid w:val="004218B6"/>
    <w:rsid w:val="00432F18"/>
    <w:rsid w:val="004406D8"/>
    <w:rsid w:val="0045103B"/>
    <w:rsid w:val="00451541"/>
    <w:rsid w:val="00452290"/>
    <w:rsid w:val="004530E4"/>
    <w:rsid w:val="0045622B"/>
    <w:rsid w:val="00465FAB"/>
    <w:rsid w:val="00483819"/>
    <w:rsid w:val="00485C8E"/>
    <w:rsid w:val="00492956"/>
    <w:rsid w:val="004979FE"/>
    <w:rsid w:val="004A2D09"/>
    <w:rsid w:val="004B4DDF"/>
    <w:rsid w:val="004C047C"/>
    <w:rsid w:val="004C3FDF"/>
    <w:rsid w:val="004C62AF"/>
    <w:rsid w:val="004C6DE4"/>
    <w:rsid w:val="004D37A6"/>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476"/>
    <w:rsid w:val="00554C8C"/>
    <w:rsid w:val="00557986"/>
    <w:rsid w:val="00573A3D"/>
    <w:rsid w:val="005866E6"/>
    <w:rsid w:val="00593CB9"/>
    <w:rsid w:val="005959D7"/>
    <w:rsid w:val="005A09C0"/>
    <w:rsid w:val="005A75FE"/>
    <w:rsid w:val="005B001D"/>
    <w:rsid w:val="005B765F"/>
    <w:rsid w:val="005C09A0"/>
    <w:rsid w:val="005C0D83"/>
    <w:rsid w:val="005D3566"/>
    <w:rsid w:val="005D5222"/>
    <w:rsid w:val="005D677F"/>
    <w:rsid w:val="005E35A7"/>
    <w:rsid w:val="005E5333"/>
    <w:rsid w:val="005F33D8"/>
    <w:rsid w:val="005F7A37"/>
    <w:rsid w:val="00601A8D"/>
    <w:rsid w:val="00612BF8"/>
    <w:rsid w:val="00612D18"/>
    <w:rsid w:val="006142F7"/>
    <w:rsid w:val="006206CA"/>
    <w:rsid w:val="00622FFE"/>
    <w:rsid w:val="0062561E"/>
    <w:rsid w:val="00630B02"/>
    <w:rsid w:val="00632F86"/>
    <w:rsid w:val="006429E0"/>
    <w:rsid w:val="00642FFB"/>
    <w:rsid w:val="00651E7A"/>
    <w:rsid w:val="00662885"/>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02F4"/>
    <w:rsid w:val="007130A5"/>
    <w:rsid w:val="0071638E"/>
    <w:rsid w:val="00722CC5"/>
    <w:rsid w:val="00732102"/>
    <w:rsid w:val="00740242"/>
    <w:rsid w:val="00750466"/>
    <w:rsid w:val="00755C94"/>
    <w:rsid w:val="00760D29"/>
    <w:rsid w:val="0076601B"/>
    <w:rsid w:val="007701BF"/>
    <w:rsid w:val="007854DE"/>
    <w:rsid w:val="00785648"/>
    <w:rsid w:val="00797AE9"/>
    <w:rsid w:val="007A46BB"/>
    <w:rsid w:val="007A5553"/>
    <w:rsid w:val="007B17E8"/>
    <w:rsid w:val="007C0FA0"/>
    <w:rsid w:val="007C0FC2"/>
    <w:rsid w:val="007D0913"/>
    <w:rsid w:val="007D1ED5"/>
    <w:rsid w:val="007E0BD8"/>
    <w:rsid w:val="007E3863"/>
    <w:rsid w:val="007E71A1"/>
    <w:rsid w:val="008056B9"/>
    <w:rsid w:val="00807E9F"/>
    <w:rsid w:val="0081088A"/>
    <w:rsid w:val="008126E0"/>
    <w:rsid w:val="0081514F"/>
    <w:rsid w:val="00816CCE"/>
    <w:rsid w:val="00820074"/>
    <w:rsid w:val="00822621"/>
    <w:rsid w:val="0082292C"/>
    <w:rsid w:val="00830868"/>
    <w:rsid w:val="00856F51"/>
    <w:rsid w:val="00856FD3"/>
    <w:rsid w:val="0086245A"/>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06CEB"/>
    <w:rsid w:val="00912126"/>
    <w:rsid w:val="009124CD"/>
    <w:rsid w:val="00913E37"/>
    <w:rsid w:val="009142D7"/>
    <w:rsid w:val="00921CB7"/>
    <w:rsid w:val="00927595"/>
    <w:rsid w:val="00927926"/>
    <w:rsid w:val="00936AF4"/>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4CD9"/>
    <w:rsid w:val="009E5199"/>
    <w:rsid w:val="009F4DBE"/>
    <w:rsid w:val="00A0384D"/>
    <w:rsid w:val="00A1353C"/>
    <w:rsid w:val="00A21774"/>
    <w:rsid w:val="00A25A5F"/>
    <w:rsid w:val="00A260B9"/>
    <w:rsid w:val="00A261C4"/>
    <w:rsid w:val="00A26ADA"/>
    <w:rsid w:val="00A32298"/>
    <w:rsid w:val="00A37296"/>
    <w:rsid w:val="00A51C4E"/>
    <w:rsid w:val="00A57D48"/>
    <w:rsid w:val="00A60F7B"/>
    <w:rsid w:val="00A624CB"/>
    <w:rsid w:val="00A62D4F"/>
    <w:rsid w:val="00A641A2"/>
    <w:rsid w:val="00A77616"/>
    <w:rsid w:val="00A77DB8"/>
    <w:rsid w:val="00A85661"/>
    <w:rsid w:val="00A865E4"/>
    <w:rsid w:val="00AA2854"/>
    <w:rsid w:val="00AC156D"/>
    <w:rsid w:val="00AC1B03"/>
    <w:rsid w:val="00AC2E98"/>
    <w:rsid w:val="00AC3827"/>
    <w:rsid w:val="00AC7FC1"/>
    <w:rsid w:val="00AD573B"/>
    <w:rsid w:val="00AD644D"/>
    <w:rsid w:val="00AE2CAF"/>
    <w:rsid w:val="00B05103"/>
    <w:rsid w:val="00B1081E"/>
    <w:rsid w:val="00B12EA4"/>
    <w:rsid w:val="00B156D6"/>
    <w:rsid w:val="00B16E3E"/>
    <w:rsid w:val="00B26C3A"/>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378F5"/>
    <w:rsid w:val="00C4692F"/>
    <w:rsid w:val="00C50135"/>
    <w:rsid w:val="00C5792D"/>
    <w:rsid w:val="00C57FA4"/>
    <w:rsid w:val="00C6609A"/>
    <w:rsid w:val="00C7391C"/>
    <w:rsid w:val="00C77EF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370BB"/>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D4A63"/>
    <w:rsid w:val="00DE0DF4"/>
    <w:rsid w:val="00DF2098"/>
    <w:rsid w:val="00E01C53"/>
    <w:rsid w:val="00E02D60"/>
    <w:rsid w:val="00E04925"/>
    <w:rsid w:val="00E062A2"/>
    <w:rsid w:val="00E073C6"/>
    <w:rsid w:val="00E07500"/>
    <w:rsid w:val="00E11E99"/>
    <w:rsid w:val="00E138B7"/>
    <w:rsid w:val="00E153DB"/>
    <w:rsid w:val="00E1648B"/>
    <w:rsid w:val="00E20063"/>
    <w:rsid w:val="00E21F92"/>
    <w:rsid w:val="00E229B6"/>
    <w:rsid w:val="00E25985"/>
    <w:rsid w:val="00E26057"/>
    <w:rsid w:val="00E35F6D"/>
    <w:rsid w:val="00E4259F"/>
    <w:rsid w:val="00E42F0D"/>
    <w:rsid w:val="00E500D8"/>
    <w:rsid w:val="00E56C0B"/>
    <w:rsid w:val="00E67E91"/>
    <w:rsid w:val="00E70D4B"/>
    <w:rsid w:val="00E85A1A"/>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1D6F"/>
    <w:rsid w:val="00F9295B"/>
    <w:rsid w:val="00F95B49"/>
    <w:rsid w:val="00F972C7"/>
    <w:rsid w:val="00FA22E6"/>
    <w:rsid w:val="00FA3C20"/>
    <w:rsid w:val="00FA57D7"/>
    <w:rsid w:val="00FA68A4"/>
    <w:rsid w:val="00FB585B"/>
    <w:rsid w:val="00FC00A3"/>
    <w:rsid w:val="00FC2A89"/>
    <w:rsid w:val="00FD0DF6"/>
    <w:rsid w:val="00FD114F"/>
    <w:rsid w:val="00FD436F"/>
    <w:rsid w:val="00FE51E4"/>
    <w:rsid w:val="00FF1EC1"/>
    <w:rsid w:val="00FF5782"/>
    <w:rsid w:val="00FF6337"/>
    <w:rsid w:val="0F2E238E"/>
    <w:rsid w:val="46960E2A"/>
    <w:rsid w:val="4D7F198B"/>
    <w:rsid w:val="638F3B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paragraph" w:styleId="3">
    <w:name w:val="heading 2"/>
    <w:basedOn w:val="1"/>
    <w:next w:val="4"/>
    <w:qFormat/>
    <w:uiPriority w:val="0"/>
    <w:pPr>
      <w:keepNext/>
      <w:keepLines/>
      <w:spacing w:before="260" w:after="260" w:line="416" w:lineRule="atLeast"/>
      <w:outlineLvl w:val="1"/>
    </w:pPr>
    <w:rPr>
      <w:rFonts w:ascii="Arial" w:hAnsi="Arial" w:eastAsia="黑体"/>
      <w:b/>
      <w:sz w:val="32"/>
    </w:rPr>
  </w:style>
  <w:style w:type="paragraph" w:styleId="5">
    <w:name w:val="heading 3"/>
    <w:basedOn w:val="1"/>
    <w:next w:val="4"/>
    <w:qFormat/>
    <w:uiPriority w:val="0"/>
    <w:pPr>
      <w:keepNext/>
      <w:keepLines/>
      <w:spacing w:before="260" w:after="260" w:line="416" w:lineRule="atLeast"/>
      <w:outlineLvl w:val="2"/>
    </w:pPr>
    <w:rPr>
      <w:b/>
      <w:sz w:val="32"/>
    </w:rPr>
  </w:style>
  <w:style w:type="paragraph" w:styleId="6">
    <w:name w:val="heading 4"/>
    <w:basedOn w:val="1"/>
    <w:next w:val="4"/>
    <w:qFormat/>
    <w:uiPriority w:val="0"/>
    <w:pPr>
      <w:keepNext/>
      <w:keepLines/>
      <w:spacing w:before="280" w:after="290" w:line="376" w:lineRule="atLeast"/>
      <w:outlineLvl w:val="3"/>
    </w:pPr>
    <w:rPr>
      <w:rFonts w:ascii="Arial" w:hAnsi="Arial" w:eastAsia="黑体"/>
      <w:b/>
      <w:sz w:val="28"/>
    </w:rPr>
  </w:style>
  <w:style w:type="paragraph" w:styleId="7">
    <w:name w:val="heading 5"/>
    <w:basedOn w:val="1"/>
    <w:next w:val="4"/>
    <w:qFormat/>
    <w:uiPriority w:val="0"/>
    <w:pPr>
      <w:keepNext/>
      <w:keepLines/>
      <w:spacing w:before="280" w:after="290" w:line="376" w:lineRule="atLeast"/>
      <w:outlineLvl w:val="4"/>
    </w:pPr>
    <w:rPr>
      <w:b/>
      <w:sz w:val="28"/>
    </w:rPr>
  </w:style>
  <w:style w:type="character" w:default="1" w:styleId="26">
    <w:name w:val="Default Paragraph Font"/>
    <w:semiHidden/>
    <w:unhideWhenUsed/>
    <w:qFormat/>
    <w:uiPriority w:val="1"/>
  </w:style>
  <w:style w:type="table" w:default="1" w:styleId="25">
    <w:name w:val="Normal Table"/>
    <w:semiHidden/>
    <w:unhideWhenUsed/>
    <w:uiPriority w:val="99"/>
    <w:tblPr>
      <w:tblLayout w:type="fixed"/>
      <w:tblCellMar>
        <w:top w:w="0" w:type="dxa"/>
        <w:left w:w="108" w:type="dxa"/>
        <w:bottom w:w="0" w:type="dxa"/>
        <w:right w:w="108" w:type="dxa"/>
      </w:tblCellMar>
    </w:tblPr>
  </w:style>
  <w:style w:type="paragraph" w:styleId="4">
    <w:name w:val="Normal Indent"/>
    <w:basedOn w:val="1"/>
    <w:uiPriority w:val="0"/>
    <w:pPr>
      <w:ind w:firstLine="420"/>
    </w:pPr>
  </w:style>
  <w:style w:type="paragraph" w:styleId="8">
    <w:name w:val="List 3"/>
    <w:basedOn w:val="1"/>
    <w:qFormat/>
    <w:uiPriority w:val="0"/>
    <w:pPr>
      <w:ind w:left="1260" w:hanging="420"/>
    </w:pPr>
  </w:style>
  <w:style w:type="paragraph" w:styleId="9">
    <w:name w:val="Document Map"/>
    <w:basedOn w:val="1"/>
    <w:semiHidden/>
    <w:uiPriority w:val="0"/>
    <w:pPr>
      <w:shd w:val="clear" w:color="auto" w:fill="000080"/>
    </w:pPr>
  </w:style>
  <w:style w:type="paragraph" w:styleId="10">
    <w:name w:val="annotation text"/>
    <w:basedOn w:val="1"/>
    <w:semiHidden/>
    <w:uiPriority w:val="0"/>
  </w:style>
  <w:style w:type="paragraph" w:styleId="11">
    <w:name w:val="Body Text"/>
    <w:basedOn w:val="1"/>
    <w:uiPriority w:val="0"/>
    <w:pPr>
      <w:jc w:val="both"/>
    </w:pPr>
    <w:rPr>
      <w:rFonts w:ascii="楷体" w:eastAsia="楷体"/>
      <w:sz w:val="28"/>
    </w:rPr>
  </w:style>
  <w:style w:type="paragraph" w:styleId="12">
    <w:name w:val="Body Text Indent"/>
    <w:basedOn w:val="1"/>
    <w:uiPriority w:val="0"/>
    <w:pPr>
      <w:spacing w:after="120"/>
      <w:ind w:left="420"/>
    </w:pPr>
  </w:style>
  <w:style w:type="paragraph" w:styleId="13">
    <w:name w:val="List 2"/>
    <w:basedOn w:val="1"/>
    <w:uiPriority w:val="0"/>
    <w:pPr>
      <w:ind w:left="840" w:hanging="420"/>
    </w:pPr>
  </w:style>
  <w:style w:type="paragraph" w:styleId="14">
    <w:name w:val="Plain Text"/>
    <w:basedOn w:val="1"/>
    <w:link w:val="33"/>
    <w:qFormat/>
    <w:uiPriority w:val="99"/>
    <w:pPr>
      <w:adjustRightInd/>
      <w:spacing w:line="240" w:lineRule="auto"/>
      <w:jc w:val="both"/>
      <w:textAlignment w:val="auto"/>
    </w:pPr>
    <w:rPr>
      <w:rFonts w:ascii="宋体" w:hAnsi="Courier New"/>
      <w:kern w:val="2"/>
      <w:sz w:val="21"/>
      <w:szCs w:val="21"/>
    </w:rPr>
  </w:style>
  <w:style w:type="paragraph" w:styleId="15">
    <w:name w:val="Date"/>
    <w:basedOn w:val="1"/>
    <w:next w:val="1"/>
    <w:qFormat/>
    <w:uiPriority w:val="0"/>
    <w:pPr>
      <w:jc w:val="both"/>
    </w:pPr>
  </w:style>
  <w:style w:type="paragraph" w:styleId="16">
    <w:name w:val="Body Text Indent 2"/>
    <w:basedOn w:val="1"/>
    <w:uiPriority w:val="0"/>
    <w:pPr>
      <w:spacing w:line="400" w:lineRule="atLeast"/>
      <w:ind w:firstLine="640"/>
      <w:jc w:val="both"/>
    </w:pPr>
    <w:rPr>
      <w:rFonts w:ascii="楷体_GB2312" w:hAnsi="楷体" w:eastAsia="楷体_GB2312"/>
      <w:b/>
      <w:bCs/>
      <w:sz w:val="28"/>
    </w:rPr>
  </w:style>
  <w:style w:type="paragraph" w:styleId="17">
    <w:name w:val="Balloon Text"/>
    <w:basedOn w:val="1"/>
    <w:semiHidden/>
    <w:uiPriority w:val="0"/>
    <w:rPr>
      <w:sz w:val="18"/>
      <w:szCs w:val="18"/>
    </w:rPr>
  </w:style>
  <w:style w:type="paragraph" w:styleId="18">
    <w:name w:val="footer"/>
    <w:basedOn w:val="1"/>
    <w:uiPriority w:val="0"/>
    <w:pPr>
      <w:tabs>
        <w:tab w:val="center" w:pos="4153"/>
        <w:tab w:val="right" w:pos="8306"/>
      </w:tabs>
      <w:snapToGrid w:val="0"/>
      <w:spacing w:line="240" w:lineRule="atLeast"/>
    </w:pPr>
    <w:rPr>
      <w:sz w:val="18"/>
      <w:szCs w:val="18"/>
    </w:rPr>
  </w:style>
  <w:style w:type="paragraph" w:styleId="19">
    <w:name w:val="header"/>
    <w:basedOn w:val="1"/>
    <w:link w:val="34"/>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Body Text Indent 3"/>
    <w:basedOn w:val="1"/>
    <w:qFormat/>
    <w:uiPriority w:val="0"/>
    <w:pPr>
      <w:spacing w:line="460" w:lineRule="exact"/>
      <w:ind w:firstLine="640"/>
      <w:jc w:val="both"/>
    </w:pPr>
    <w:rPr>
      <w:rFonts w:ascii="楷体_GB2312" w:hAnsi="华文中宋" w:eastAsia="楷体_GB2312"/>
      <w:sz w:val="28"/>
    </w:rPr>
  </w:style>
  <w:style w:type="paragraph" w:styleId="21">
    <w:name w:val="List 4"/>
    <w:basedOn w:val="1"/>
    <w:uiPriority w:val="0"/>
    <w:pPr>
      <w:ind w:left="1680" w:hanging="420"/>
    </w:pPr>
  </w:style>
  <w:style w:type="paragraph" w:styleId="22">
    <w:name w:val="Body Text First Indent"/>
    <w:basedOn w:val="11"/>
    <w:uiPriority w:val="0"/>
    <w:pPr>
      <w:spacing w:after="120"/>
      <w:ind w:firstLine="420"/>
      <w:jc w:val="left"/>
    </w:pPr>
    <w:rPr>
      <w:rFonts w:ascii="Times New Roman" w:eastAsia="宋体"/>
      <w:sz w:val="24"/>
    </w:rPr>
  </w:style>
  <w:style w:type="paragraph" w:styleId="23">
    <w:name w:val="Body Text First Indent 2"/>
    <w:basedOn w:val="24"/>
    <w:uiPriority w:val="0"/>
    <w:pPr>
      <w:spacing w:after="120"/>
      <w:ind w:left="420" w:firstLine="210"/>
      <w:jc w:val="left"/>
    </w:pPr>
    <w:rPr>
      <w:rFonts w:ascii="Times New Roman" w:eastAsia="宋体"/>
      <w:sz w:val="24"/>
    </w:rPr>
  </w:style>
  <w:style w:type="paragraph" w:customStyle="1" w:styleId="24">
    <w:name w:val="正文文本 21"/>
    <w:basedOn w:val="1"/>
    <w:uiPriority w:val="0"/>
    <w:pPr>
      <w:ind w:firstLine="624"/>
      <w:jc w:val="both"/>
    </w:pPr>
    <w:rPr>
      <w:rFonts w:ascii="楷体" w:eastAsia="楷体"/>
      <w:sz w:val="30"/>
    </w:rPr>
  </w:style>
  <w:style w:type="character" w:styleId="27">
    <w:name w:val="page number"/>
    <w:basedOn w:val="26"/>
    <w:uiPriority w:val="0"/>
  </w:style>
  <w:style w:type="character" w:styleId="28">
    <w:name w:val="Hyperlink"/>
    <w:uiPriority w:val="0"/>
    <w:rPr>
      <w:color w:val="0000FF"/>
      <w:u w:val="single"/>
    </w:rPr>
  </w:style>
  <w:style w:type="character" w:styleId="29">
    <w:name w:val="annotation reference"/>
    <w:semiHidden/>
    <w:qFormat/>
    <w:uiPriority w:val="0"/>
    <w:rPr>
      <w:sz w:val="21"/>
    </w:rPr>
  </w:style>
  <w:style w:type="paragraph" w:customStyle="1" w:styleId="30">
    <w:name w:val="正文文本缩进 21"/>
    <w:basedOn w:val="1"/>
    <w:uiPriority w:val="0"/>
    <w:pPr>
      <w:ind w:firstLine="624"/>
      <w:jc w:val="both"/>
    </w:pPr>
    <w:rPr>
      <w:rFonts w:ascii="楷体" w:eastAsia="楷体"/>
      <w:sz w:val="28"/>
    </w:rPr>
  </w:style>
  <w:style w:type="paragraph" w:customStyle="1" w:styleId="31">
    <w:name w:val="正文文本缩进 31"/>
    <w:basedOn w:val="1"/>
    <w:uiPriority w:val="0"/>
    <w:pPr>
      <w:spacing w:line="400" w:lineRule="atLeast"/>
      <w:ind w:firstLine="640"/>
      <w:jc w:val="both"/>
    </w:pPr>
    <w:rPr>
      <w:rFonts w:ascii="楷体" w:hAnsi="楷体" w:eastAsia="楷体"/>
      <w:sz w:val="32"/>
    </w:rPr>
  </w:style>
  <w:style w:type="character" w:customStyle="1" w:styleId="32">
    <w:name w:val="已访问的超链接1"/>
    <w:qFormat/>
    <w:uiPriority w:val="0"/>
    <w:rPr>
      <w:color w:val="800080"/>
      <w:u w:val="single"/>
    </w:rPr>
  </w:style>
  <w:style w:type="character" w:customStyle="1" w:styleId="33">
    <w:name w:val="纯文本 字符"/>
    <w:link w:val="14"/>
    <w:qFormat/>
    <w:uiPriority w:val="99"/>
    <w:rPr>
      <w:rFonts w:ascii="宋体" w:hAnsi="Courier New"/>
      <w:kern w:val="2"/>
      <w:sz w:val="21"/>
      <w:szCs w:val="21"/>
    </w:rPr>
  </w:style>
  <w:style w:type="character" w:customStyle="1" w:styleId="34">
    <w:name w:val="页眉 字符"/>
    <w:basedOn w:val="26"/>
    <w:link w:val="19"/>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964C72-865D-4B5F-829E-057560E85420}">
  <ds:schemaRefs/>
</ds:datastoreItem>
</file>

<file path=docProps/app.xml><?xml version="1.0" encoding="utf-8"?>
<Properties xmlns="http://schemas.openxmlformats.org/officeDocument/2006/extended-properties" xmlns:vt="http://schemas.openxmlformats.org/officeDocument/2006/docPropsVTypes">
  <Template>Normal</Template>
  <Company>基金委来华部</Company>
  <Pages>6</Pages>
  <Words>1092</Words>
  <Characters>6227</Characters>
  <Lines>51</Lines>
  <Paragraphs>14</Paragraphs>
  <TotalTime>6</TotalTime>
  <ScaleCrop>false</ScaleCrop>
  <LinksUpToDate>false</LinksUpToDate>
  <CharactersWithSpaces>7305</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2026-10-21T04:57:00Z</dcterms:created>
  <dc:creator>黎冰</dc:creator>
  <cp:lastModifiedBy>ShiYongRen</cp:lastModifiedBy>
  <cp:lastPrinted>2021-11-02T09:16:00Z</cp:lastPrinted>
  <dcterms:modified xsi:type="dcterms:W3CDTF">2026-11-04T18:04:07Z</dcterms:modified>
  <dc:title>1998/1999学年度外国留学生接受办法的具体说明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